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ОПРОСНЫЙ ЛИСТ ДЛЯ ПОДБОРА СТАНЦИИ СБОРА И ВОЗВРАТА КОНДЕНСАТА </w:t>
      </w:r>
      <w:r w:rsidDel="00000000" w:rsidR="00000000" w:rsidRPr="00000000">
        <w:rPr>
          <w:rFonts w:ascii="Calibri" w:cs="Calibri" w:eastAsia="Calibri" w:hAnsi="Calibri"/>
          <w:b w:val="1"/>
          <w:color w:val="00b050"/>
          <w:sz w:val="22"/>
          <w:szCs w:val="22"/>
          <w:rtl w:val="0"/>
        </w:rPr>
        <w:t xml:space="preserve">АСТА™ УНКО (Э)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-226.0" w:type="dxa"/>
        <w:tblLayout w:type="fixed"/>
        <w:tblLook w:val="0000"/>
      </w:tblPr>
      <w:tblGrid>
        <w:gridCol w:w="689"/>
        <w:gridCol w:w="5887"/>
        <w:gridCol w:w="1337"/>
        <w:gridCol w:w="128"/>
        <w:gridCol w:w="89"/>
        <w:gridCol w:w="1125"/>
        <w:gridCol w:w="257"/>
        <w:gridCol w:w="518"/>
        <w:gridCol w:w="176"/>
        <w:tblGridChange w:id="0">
          <w:tblGrid>
            <w:gridCol w:w="689"/>
            <w:gridCol w:w="5887"/>
            <w:gridCol w:w="1337"/>
            <w:gridCol w:w="128"/>
            <w:gridCol w:w="89"/>
            <w:gridCol w:w="1125"/>
            <w:gridCol w:w="257"/>
            <w:gridCol w:w="518"/>
            <w:gridCol w:w="176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Наименование заказчика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Наименование и адрес объекта установки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ПАРАМЕТРЫ СИСТЕМЫ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1.1.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в конечной точке приема конденсата (деаэратор, напорный конденсатопровод, атмосферный бак и др.), бар изб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1.2.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Высота подъема (вертикальный участок трубопровода после насоса), м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1.3.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Длина горизонтального участка конденсатопровода (от насоса до конечной точки приема конденсата), м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1.4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Диаметр горизонтального участка конденсатопровода, мм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II.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ИСПОЛНЕНИЕ УСТАНОВКИ СБОРА И ВОЗВРАТА КОНДЕНСАТА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2.1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Место установки</w:t>
            </w:r>
          </w:p>
        </w:tc>
        <w:tc>
          <w:tcPr>
            <w:gridSpan w:val="5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на улице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в помещении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2.2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Температура окружающей среды, °С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от                 до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restart"/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Входные патрубки конденсата </w:t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№1</w:t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№2</w:t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№3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Диаметр патрубка, мм</w:t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Расход конденсата, т/ч</w:t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Давление пара у потребителей, от которых поступает конденсат, бар</w:t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Тип присоединения 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(фланец, резьба, под приварку)</w:t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2.4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Максимальные габариты установки, мм</w:t>
            </w:r>
          </w:p>
          <w:p w:rsidR="00000000" w:rsidDel="00000000" w:rsidP="00000000" w:rsidRDefault="00000000" w:rsidRPr="00000000" w14:paraId="000000A8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(Длина х Ширина х Высота)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     Х                      Х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2.5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Материальное исполнение бака сбора конденсата</w:t>
            </w:r>
          </w:p>
        </w:tc>
        <w:tc>
          <w:tcPr>
            <w:gridSpan w:val="5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углеродистая сталь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нержавеющая сталь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2.6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Материальное исполнение трубопроводов</w:t>
            </w:r>
          </w:p>
        </w:tc>
        <w:tc>
          <w:tcPr>
            <w:gridSpan w:val="5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углеродистая сталь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нержавеющая сталь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2.7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Материальное исполнение арматуры</w:t>
            </w:r>
          </w:p>
        </w:tc>
        <w:tc>
          <w:tcPr>
            <w:gridSpan w:val="5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углеродистая сталь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нержавеющая сталь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2.8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Количество насосов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2.9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Напряжение питания насоса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III.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КОНТРОЛЬНО-ИЗМЕРИТЕЛЬНЫЕ ПРИБОРЫ И АВТОМАТИКА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3.1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Шкаф управления</w:t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монтаж на раме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удаленный монтаж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3.2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Частотное регулирование</w:t>
            </w:r>
          </w:p>
        </w:tc>
        <w:tc>
          <w:tcPr>
            <w:gridSpan w:val="5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Средства измерения давления</w:t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манометры местные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манометры с ток. выходом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3.4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Средства измерения температуры</w:t>
            </w:r>
          </w:p>
        </w:tc>
        <w:tc>
          <w:tcPr>
            <w:gridSpan w:val="5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термометр местный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преобразователь температуры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3.5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Средства измерения уровня</w:t>
            </w:r>
          </w:p>
        </w:tc>
        <w:tc>
          <w:tcPr>
            <w:gridSpan w:val="5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уровнемеры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уровнемеры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и сигнализаторы уровня</w:t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IV.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ОПЦИИ 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4.1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Средства измерения расхода</w:t>
            </w:r>
          </w:p>
        </w:tc>
        <w:tc>
          <w:tcPr>
            <w:gridSpan w:val="4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да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4.2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Дистанционное управление запорной арматурой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нет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электропривод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пневмопривод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4.3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Охладитель выпара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  <w:shd w:fill="ffffff" w:val="clear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4.4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Узел контроля качества конденсата</w:t>
            </w:r>
          </w:p>
        </w:tc>
        <w:tc>
          <w:tcPr>
            <w:gridSpan w:val="7"/>
            <w:tcBorders>
              <w:top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V. </w:t>
            </w:r>
          </w:p>
        </w:tc>
        <w:tc>
          <w:tcPr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ДОПОЛНИТЕЛЬНАЯ ИНФОРМАЦИЯ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gridSpan w:val="2"/>
            <w:tcBorders>
              <w:top w:color="00000a" w:space="0" w:sz="4" w:val="single"/>
              <w:bottom w:color="00000a" w:space="0" w:sz="4" w:val="single"/>
            </w:tcBorders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4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851" w:top="1440" w:left="1077" w:right="1077" w:header="709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MS Gothic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A">
    <w:pPr>
      <w:jc w:val="both"/>
      <w:rPr/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color w:val="3d404e"/>
        <w:sz w:val="20"/>
        <w:szCs w:val="20"/>
        <w:rtl w:val="0"/>
      </w:rPr>
      <w:t xml:space="preserve"> — официальный представитель —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ind w:left="2160" w:right="-171" w:firstLine="0"/>
      <w:jc w:val="both"/>
      <w:rPr/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color w:val="3d404e"/>
        <w:sz w:val="20"/>
        <w:szCs w:val="20"/>
        <w:rtl w:val="0"/>
      </w:rPr>
      <w:t xml:space="preserve">Официальный Дилер ЮгПромСнаб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color w:val="3d404e"/>
        <w:sz w:val="20"/>
        <w:szCs w:val="20"/>
        <w:rtl w:val="0"/>
      </w:rPr>
      <w:t xml:space="preserve"> - официальный</w:t>
    </w:r>
    <w:r w:rsidDel="00000000" w:rsidR="00000000" w:rsidRPr="00000000">
      <w:rPr>
        <w:rFonts w:ascii="Calibri" w:cs="Calibri" w:eastAsia="Calibri" w:hAnsi="Calibri"/>
        <w:color w:val="3d404e"/>
        <w:sz w:val="20"/>
        <w:szCs w:val="20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color w:val="3d404e"/>
        <w:sz w:val="20"/>
        <w:szCs w:val="20"/>
        <w:rtl w:val="0"/>
      </w:rPr>
      <w:t xml:space="preserve">представитель           поставка, монтаж, обслуживание насосного оборудования, генераторов газовых, дизельных, бензиновых, стабилизаторов напряжения.</w:t>
    </w:r>
    <w:r w:rsidDel="00000000" w:rsidR="00000000" w:rsidRPr="00000000">
      <w:rPr>
        <w:rFonts w:ascii="Calibri" w:cs="Calibri" w:eastAsia="Calibri" w:hAnsi="Calibri"/>
        <w:b w:val="1"/>
        <w:sz w:val="26"/>
        <w:szCs w:val="26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41575990" distL="0" distR="0" hidden="0" layoutInCell="1" locked="0" relativeHeight="0" simplePos="0">
          <wp:simplePos x="0" y="0"/>
          <wp:positionH relativeFrom="column">
            <wp:posOffset>-13969</wp:posOffset>
          </wp:positionH>
          <wp:positionV relativeFrom="paragraph">
            <wp:posOffset>639</wp:posOffset>
          </wp:positionV>
          <wp:extent cx="1055370" cy="1000125"/>
          <wp:effectExtent b="0" l="0" r="0" t="0"/>
          <wp:wrapSquare wrapText="bothSides" distB="0" distT="4157599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5370" cy="10001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56">
    <w:pPr>
      <w:rPr/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          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Адрес: 34</w:t>
      <w:tab/>
      <w:tab/>
      <w:t xml:space="preserve">4113, г. Ростов-на-Дону, ул. Орбитальная, д.46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7">
    <w:pPr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           Тел: 8-800-</w:t>
      <w:tab/>
      <w:t xml:space="preserve">222-68-78 Бесплатно по России / Моб: 8-928-296-49-10</w:t>
    </w:r>
  </w:p>
  <w:p w:rsidR="00000000" w:rsidDel="00000000" w:rsidP="00000000" w:rsidRDefault="00000000" w:rsidRPr="00000000" w14:paraId="00000158">
    <w:pPr>
      <w:ind w:left="1440" w:right="0" w:firstLine="720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Сайт: https://ugpromsnab.ru/</w:t>
      <w:tab/>
      <w:t xml:space="preserve">Электронная почта: upspump@yandex.ru</w:t>
    </w:r>
  </w:p>
  <w:p w:rsidR="00000000" w:rsidDel="00000000" w:rsidP="00000000" w:rsidRDefault="00000000" w:rsidRPr="00000000" w14:paraId="000001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