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bookmarkStart w:colFirst="0" w:colLast="0" w:name="_cyq7659xsv3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ОПРОСНЫЙ ЛИСТ ДЛЯ ПОДБОРА РЕДУКЦИОННОГО КЛАПАНА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(РЕГУЛЯТОРА ДАВЛЕНИЯ «ПОСЛЕ СЕБЯ»)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3685"/>
        <w:gridCol w:w="1701"/>
        <w:gridCol w:w="330"/>
        <w:gridCol w:w="1088"/>
        <w:gridCol w:w="944"/>
        <w:gridCol w:w="508"/>
        <w:gridCol w:w="1524"/>
        <w:tblGridChange w:id="0">
          <w:tblGrid>
            <w:gridCol w:w="426"/>
            <w:gridCol w:w="3685"/>
            <w:gridCol w:w="1701"/>
            <w:gridCol w:w="330"/>
            <w:gridCol w:w="1088"/>
            <w:gridCol w:w="944"/>
            <w:gridCol w:w="508"/>
            <w:gridCol w:w="1524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заказчика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и адрес объекта установки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ФИО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Диаметр условный, DN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условное, PN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Рабочая среда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пар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стерильный пар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воздух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другая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Максимальная температура рабочей среды Tmax, °С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Расход рабочей среды, кг/ч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(для газообразных сред – Нм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перед регулятором Р1,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после регулятора Р2 (давление настройки) 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Тип присоединения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фланцевый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резьбовой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под приварку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Материал корпуса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чугун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углеродистая сталь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Место установки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улице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 помещении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Диаметр трубопровода, DN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Материал трубопровода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обвязка регулятора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widowControl w:val="0"/>
      <w:jc w:val="both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widowControl w:val="0"/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4">
    <w:pPr>
      <w:widowControl w:val="0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8-800-222-68-78 Бесплатно по России / Моб: 8-928-296-49-10</w:t>
    </w:r>
  </w:p>
  <w:p w:rsidR="00000000" w:rsidDel="00000000" w:rsidP="00000000" w:rsidRDefault="00000000" w:rsidRPr="00000000" w14:paraId="000000B6">
    <w:pPr>
      <w:widowControl w:val="0"/>
      <w:ind w:left="1440" w:firstLine="720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Сайт: https://ugpromsnab.ru/</w:t>
      <w:tab/>
      <w:t xml:space="preserve">Электронная почта: upspump@yandex.ru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