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КЛАПАНА СОЛЕНОИДНОГО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827"/>
        <w:gridCol w:w="1190"/>
        <w:gridCol w:w="298"/>
        <w:gridCol w:w="496"/>
        <w:gridCol w:w="397"/>
        <w:gridCol w:w="454"/>
        <w:gridCol w:w="736"/>
        <w:gridCol w:w="397"/>
        <w:gridCol w:w="426"/>
        <w:gridCol w:w="368"/>
        <w:gridCol w:w="1191"/>
        <w:tblGridChange w:id="0">
          <w:tblGrid>
            <w:gridCol w:w="426"/>
            <w:gridCol w:w="3827"/>
            <w:gridCol w:w="1190"/>
            <w:gridCol w:w="298"/>
            <w:gridCol w:w="496"/>
            <w:gridCol w:w="397"/>
            <w:gridCol w:w="454"/>
            <w:gridCol w:w="736"/>
            <w:gridCol w:w="397"/>
            <w:gridCol w:w="426"/>
            <w:gridCol w:w="368"/>
            <w:gridCol w:w="1191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объекта установки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условный, DN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Рабочая среда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/ч)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перед клапаном Р1, бар изб.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Максимальный перепад давления на клапане ΔР, бар изб.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 корпуса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латунь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присоединения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управления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прямого действия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непрямого действия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(пилотный)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Количество ходов (порта / позиций)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2/2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3/2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Род тока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AC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DC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Напряжение питания, 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12В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24В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48В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110В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230В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Положение безопасности при отсутствии питания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нормально-открытое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нормально-закрытое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Место установки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Опции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клеммная коробка с LED-индикатором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таймер 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907" w:top="1440" w:left="1077" w:right="1077" w:header="51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widowControl w:val="0"/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2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</w:t>
      <w:tab/>
      <w:tab/>
      <w:t xml:space="preserve">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</w:t>
      <w:tab/>
      <w:t xml:space="preserve">222-68-78 Бесплатно по России / Моб: 8-928-296-49-10</w:t>
    </w:r>
  </w:p>
  <w:p w:rsidR="00000000" w:rsidDel="00000000" w:rsidP="00000000" w:rsidRDefault="00000000" w:rsidRPr="00000000" w14:paraId="00000124">
    <w:pPr>
      <w:widowControl w:val="0"/>
      <w:ind w:left="1440" w:firstLine="720"/>
      <w:rPr>
        <w:rFonts w:ascii="Calibri" w:cs="Calibri" w:eastAsia="Calibri" w:hAnsi="Calibri"/>
        <w:b w:val="1"/>
        <w:sz w:val="2"/>
        <w:szCs w:val="2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