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16" w:lineRule="auto"/>
        <w:jc w:val="center"/>
        <w:rPr>
          <w:rFonts w:ascii="Calibri" w:cs="Calibri" w:eastAsia="Calibri" w:hAnsi="Calibri"/>
          <w:b w:val="1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1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КЛАПАНА РЕГУЛИРУЮЩЕГО С ПНЕВМОПРИВОДОМ</w:t>
      </w:r>
    </w:p>
    <w:tbl>
      <w:tblPr>
        <w:tblStyle w:val="Table1"/>
        <w:tblW w:w="10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202"/>
        <w:gridCol w:w="1437"/>
        <w:gridCol w:w="462"/>
        <w:gridCol w:w="849"/>
        <w:gridCol w:w="1033"/>
        <w:gridCol w:w="483"/>
        <w:gridCol w:w="29"/>
        <w:gridCol w:w="1546"/>
        <w:tblGridChange w:id="0">
          <w:tblGrid>
            <w:gridCol w:w="417"/>
            <w:gridCol w:w="4202"/>
            <w:gridCol w:w="1437"/>
            <w:gridCol w:w="462"/>
            <w:gridCol w:w="849"/>
            <w:gridCol w:w="1033"/>
            <w:gridCol w:w="483"/>
            <w:gridCol w:w="29"/>
            <w:gridCol w:w="1546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I.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ХАРАКТЕРИСТИКИ КЛАПАНА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клапана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двухходовой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регулирующий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запорно-регулирующий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запорный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трехходовой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разделяющий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смешивающий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условный, DN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условное, PN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стерильный пар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1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1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8E">
            <w:pPr>
              <w:spacing w:line="21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перед клапаном Р1,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после клапаном Р2,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Максимальный перепад давления на клапане ΔР, бар изб.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угл. сталь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Место установки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трубопровода, мм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II.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ХАРАКТЕРИСТИКИ ПНЕВМОПРИВОДА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привода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одностороннего действия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нормально-открытое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нормально-закрытое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управляющей среды в пневмосистеме,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управляющей среды в пневмосистеме, °С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Позиционер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пневматический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электропневматический (4-20 мА)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Обратная связь</w:t>
            </w:r>
          </w:p>
        </w:tc>
        <w:tc>
          <w:tcPr>
            <w:gridSpan w:val="3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 (4-20 мА)</w:t>
            </w:r>
          </w:p>
        </w:tc>
        <w:tc>
          <w:tcPr>
            <w:gridSpan w:val="4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Протоколы приема данных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HART 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Profibus</w:t>
            </w:r>
          </w:p>
        </w:tc>
        <w:tc>
          <w:tcPr>
            <w:gridSpan w:val="3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Fieldbus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Взрывозащита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 </w:t>
            </w:r>
          </w:p>
        </w:tc>
        <w:tc>
          <w:tcPr>
            <w:gridSpan w:val="4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Exd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Exi</w:t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Дополнительные опции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фильтр-редуктор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концевые выключатели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ручной дублер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8">
            <w:pPr>
              <w:spacing w:line="21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ЭМК 3/2 (портов/позиций)</w:t>
              <w:br w:type="textWrapping"/>
              <w:t xml:space="preserve">с возм. выбора напряжения питания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64" w:top="1135" w:left="720" w:right="720" w:header="397" w:footer="5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MS Gothic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widowControl w:val="0"/>
      <w:jc w:val="both"/>
      <w:rPr>
        <w:rFonts w:ascii="Arial" w:cs="Arial" w:eastAsia="Arial" w:hAnsi="Arial"/>
        <w:b w:val="1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E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160">
    <w:pPr>
      <w:widowControl w:val="0"/>
      <w:ind w:left="1440" w:firstLine="72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